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879" w:type="dxa"/>
        <w:tblLook w:val="04A0" w:firstRow="1" w:lastRow="0" w:firstColumn="1" w:lastColumn="0" w:noHBand="0" w:noVBand="1"/>
      </w:tblPr>
      <w:tblGrid>
        <w:gridCol w:w="550"/>
        <w:gridCol w:w="1143"/>
        <w:gridCol w:w="1682"/>
        <w:gridCol w:w="4521"/>
        <w:gridCol w:w="4591"/>
        <w:gridCol w:w="2392"/>
      </w:tblGrid>
      <w:tr w:rsidR="00C80003" w:rsidRPr="00C80003" w14:paraId="138102AF" w14:textId="75B8B801" w:rsidTr="00C80003">
        <w:trPr>
          <w:trHeight w:val="841"/>
        </w:trPr>
        <w:tc>
          <w:tcPr>
            <w:tcW w:w="14879" w:type="dxa"/>
            <w:gridSpan w:val="6"/>
          </w:tcPr>
          <w:p w14:paraId="394B296D" w14:textId="28F8F151" w:rsidR="00C80003" w:rsidRPr="00C80003" w:rsidRDefault="00C80003" w:rsidP="00C80003">
            <w:pPr>
              <w:pStyle w:val="Other"/>
              <w:spacing w:before="100"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80003">
              <w:rPr>
                <w:rStyle w:val="Other0"/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Nazwa dokumentu: Centralna Ewidencja Posiadaczy Kart Parkingowych(CEPKP)</w:t>
            </w:r>
          </w:p>
        </w:tc>
      </w:tr>
      <w:tr w:rsidR="00C80003" w:rsidRPr="00C80003" w14:paraId="4AF7560F" w14:textId="77777777" w:rsidTr="00C80003">
        <w:trPr>
          <w:trHeight w:val="976"/>
        </w:trPr>
        <w:tc>
          <w:tcPr>
            <w:tcW w:w="561" w:type="dxa"/>
            <w:vAlign w:val="center"/>
          </w:tcPr>
          <w:p w14:paraId="76102960" w14:textId="77777777" w:rsidR="00C80003" w:rsidRPr="00C80003" w:rsidRDefault="00C80003" w:rsidP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Lp.</w:t>
            </w:r>
          </w:p>
          <w:p w14:paraId="4AA440B9" w14:textId="5498984D" w:rsidR="00C80003" w:rsidRPr="00C80003" w:rsidRDefault="00C80003" w:rsidP="00C80003">
            <w:pPr>
              <w:rPr>
                <w:rFonts w:ascii="Calibri" w:hAnsi="Calibri" w:cs="Calibri"/>
              </w:rPr>
            </w:pPr>
          </w:p>
        </w:tc>
        <w:tc>
          <w:tcPr>
            <w:tcW w:w="1153" w:type="dxa"/>
            <w:vAlign w:val="center"/>
          </w:tcPr>
          <w:p w14:paraId="7F4C73F9" w14:textId="7D1797B0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Organ wnoszący uwagi</w:t>
            </w:r>
          </w:p>
          <w:p w14:paraId="01BE5EEE" w14:textId="77777777" w:rsidR="00C80003" w:rsidRPr="00C80003" w:rsidRDefault="00C80003" w:rsidP="00C80003">
            <w:pPr>
              <w:rPr>
                <w:rFonts w:ascii="Calibri" w:hAnsi="Calibri" w:cs="Calibri"/>
              </w:rPr>
            </w:pPr>
          </w:p>
        </w:tc>
        <w:tc>
          <w:tcPr>
            <w:tcW w:w="1683" w:type="dxa"/>
            <w:vAlign w:val="bottom"/>
          </w:tcPr>
          <w:p w14:paraId="1A53E1BC" w14:textId="59147AF8" w:rsidR="00C80003" w:rsidRPr="00C80003" w:rsidRDefault="00C80003" w:rsidP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Jednostka redakcyjna, do której wnoszone są uwagi</w:t>
            </w:r>
          </w:p>
        </w:tc>
        <w:tc>
          <w:tcPr>
            <w:tcW w:w="4820" w:type="dxa"/>
            <w:vAlign w:val="center"/>
          </w:tcPr>
          <w:p w14:paraId="1F07ABB0" w14:textId="36C2E819" w:rsidR="00C80003" w:rsidRPr="00C80003" w:rsidRDefault="00C80003" w:rsidP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Treść uwagi</w:t>
            </w:r>
          </w:p>
        </w:tc>
        <w:tc>
          <w:tcPr>
            <w:tcW w:w="5114" w:type="dxa"/>
            <w:vAlign w:val="center"/>
          </w:tcPr>
          <w:p w14:paraId="04522FDF" w14:textId="5C2395FD" w:rsidR="00C80003" w:rsidRPr="00C80003" w:rsidRDefault="00C80003" w:rsidP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Propozycja zmian zapisu</w:t>
            </w:r>
          </w:p>
        </w:tc>
        <w:tc>
          <w:tcPr>
            <w:tcW w:w="1548" w:type="dxa"/>
            <w:vAlign w:val="center"/>
          </w:tcPr>
          <w:p w14:paraId="60032293" w14:textId="2FFB8094" w:rsidR="00C80003" w:rsidRPr="00C80003" w:rsidRDefault="00C80003" w:rsidP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Odniesienie do uwagi</w:t>
            </w:r>
          </w:p>
        </w:tc>
      </w:tr>
      <w:tr w:rsidR="00C80003" w:rsidRPr="00C80003" w14:paraId="218CEE4B" w14:textId="77777777" w:rsidTr="00C80003">
        <w:tc>
          <w:tcPr>
            <w:tcW w:w="561" w:type="dxa"/>
          </w:tcPr>
          <w:p w14:paraId="4FC0AF1F" w14:textId="146C67BE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1</w:t>
            </w:r>
          </w:p>
        </w:tc>
        <w:tc>
          <w:tcPr>
            <w:tcW w:w="1153" w:type="dxa"/>
          </w:tcPr>
          <w:p w14:paraId="3470BDE6" w14:textId="381E5AA4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MRPiPS</w:t>
            </w:r>
          </w:p>
        </w:tc>
        <w:tc>
          <w:tcPr>
            <w:tcW w:w="1683" w:type="dxa"/>
          </w:tcPr>
          <w:p w14:paraId="2E0B12B4" w14:textId="11650512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2.2 Udostępnione e- usługi oraz Cele i korzyści (Cel 2)</w:t>
            </w:r>
          </w:p>
        </w:tc>
        <w:tc>
          <w:tcPr>
            <w:tcW w:w="4820" w:type="dxa"/>
          </w:tcPr>
          <w:p w14:paraId="79D94014" w14:textId="021A9FB1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Projekt zakłada wyłącznie budowę usługi wewnątrzadministracyjnej typu A2A dla służb kontrolnych. Pominięto stworzenie e-usługi dla samych OzN (np. integracji z aplikacją mObywatel). Osoby z niepełnosprawnościami (często z poważnymi dysfunkcjami rąk lub ruchu) są zmuszone do fizycznego operowania papierowym blankietem, co stwarza bariery manualne oraz ryzyko zgubienia lub kradzieży dokumentu zza szyby pojazdu. Brak e-usługi uniemożliwia im też wygodne sprawdzenie ważności karty online.</w:t>
            </w:r>
          </w:p>
        </w:tc>
        <w:tc>
          <w:tcPr>
            <w:tcW w:w="5114" w:type="dxa"/>
          </w:tcPr>
          <w:p w14:paraId="1E7C446A" w14:textId="63ED2F54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Uzupełnić zapisy</w:t>
            </w:r>
          </w:p>
        </w:tc>
        <w:tc>
          <w:tcPr>
            <w:tcW w:w="1548" w:type="dxa"/>
          </w:tcPr>
          <w:p w14:paraId="205967CF" w14:textId="638E75CD" w:rsidR="00C80003" w:rsidRPr="00C80003" w:rsidRDefault="00F2736A">
            <w:pPr>
              <w:rPr>
                <w:rFonts w:ascii="Calibri" w:hAnsi="Calibri" w:cs="Calibri"/>
              </w:rPr>
            </w:pPr>
            <w:r w:rsidRPr="00F2736A">
              <w:rPr>
                <w:rFonts w:ascii="Calibri" w:hAnsi="Calibri" w:cs="Calibri"/>
              </w:rPr>
              <w:t>Aktualny zakres projektu i planowanych integracji był uzgadniany z MRPiPS na warsztatach przygotowawczych do projektu</w:t>
            </w:r>
            <w:r w:rsidR="00160CCE">
              <w:rPr>
                <w:rFonts w:ascii="Calibri" w:hAnsi="Calibri" w:cs="Calibri"/>
              </w:rPr>
              <w:t xml:space="preserve"> – nie zgłaszano wówczas potrzeby uwzględnienia w zakresie projektu e-usługi dla osób z niepełnosprawnościami</w:t>
            </w:r>
            <w:r w:rsidRPr="00F2736A">
              <w:rPr>
                <w:rFonts w:ascii="Calibri" w:hAnsi="Calibri" w:cs="Calibri"/>
              </w:rPr>
              <w:t xml:space="preserve">. </w:t>
            </w:r>
            <w:r w:rsidR="00160CCE">
              <w:rPr>
                <w:rFonts w:ascii="Calibri" w:hAnsi="Calibri" w:cs="Calibri"/>
              </w:rPr>
              <w:t>D</w:t>
            </w:r>
            <w:r w:rsidRPr="00F2736A">
              <w:rPr>
                <w:rFonts w:ascii="Calibri" w:hAnsi="Calibri" w:cs="Calibri"/>
              </w:rPr>
              <w:t xml:space="preserve">okument cyfrowy w </w:t>
            </w:r>
            <w:r w:rsidR="00160CCE">
              <w:rPr>
                <w:rFonts w:ascii="Calibri" w:hAnsi="Calibri" w:cs="Calibri"/>
              </w:rPr>
              <w:t xml:space="preserve">aplikacji </w:t>
            </w:r>
            <w:r w:rsidRPr="00F2736A">
              <w:rPr>
                <w:rFonts w:ascii="Calibri" w:hAnsi="Calibri" w:cs="Calibri"/>
              </w:rPr>
              <w:t xml:space="preserve">mObywatel nie </w:t>
            </w:r>
            <w:r w:rsidR="00160CCE">
              <w:rPr>
                <w:rFonts w:ascii="Calibri" w:hAnsi="Calibri" w:cs="Calibri"/>
              </w:rPr>
              <w:t>jest</w:t>
            </w:r>
            <w:r w:rsidRPr="00F2736A">
              <w:rPr>
                <w:rFonts w:ascii="Calibri" w:hAnsi="Calibri" w:cs="Calibri"/>
              </w:rPr>
              <w:t xml:space="preserve"> prze</w:t>
            </w:r>
            <w:r w:rsidR="00160CCE">
              <w:rPr>
                <w:rFonts w:ascii="Calibri" w:hAnsi="Calibri" w:cs="Calibri"/>
              </w:rPr>
              <w:t>widywany do realizacji w ramach niniejszego</w:t>
            </w:r>
            <w:r w:rsidRPr="00F2736A">
              <w:rPr>
                <w:rFonts w:ascii="Calibri" w:hAnsi="Calibri" w:cs="Calibri"/>
              </w:rPr>
              <w:t xml:space="preserve"> projektu</w:t>
            </w:r>
            <w:r w:rsidR="00160CCE">
              <w:rPr>
                <w:rFonts w:ascii="Calibri" w:hAnsi="Calibri" w:cs="Calibri"/>
              </w:rPr>
              <w:t>, prace w tym zakresie nie były wyceniane i nie zostały ujęte w harmonogramie</w:t>
            </w:r>
            <w:r w:rsidRPr="00F2736A">
              <w:rPr>
                <w:rFonts w:ascii="Calibri" w:hAnsi="Calibri" w:cs="Calibri"/>
              </w:rPr>
              <w:t xml:space="preserve">. </w:t>
            </w:r>
            <w:r w:rsidR="00160CCE">
              <w:rPr>
                <w:rFonts w:ascii="Calibri" w:hAnsi="Calibri" w:cs="Calibri"/>
              </w:rPr>
              <w:t xml:space="preserve">Niezależnie od powyższego po utworzeniu centralnej ewidencji posiadaczy </w:t>
            </w:r>
            <w:r w:rsidR="00160CCE">
              <w:rPr>
                <w:rFonts w:ascii="Calibri" w:hAnsi="Calibri" w:cs="Calibri"/>
              </w:rPr>
              <w:lastRenderedPageBreak/>
              <w:t>kart parkingowych, w ramach jej rozwoju kwestia tworzenia dodatkowych usług będzie mogła zostać rozważona.</w:t>
            </w:r>
            <w:r w:rsidRPr="00F2736A">
              <w:rPr>
                <w:rFonts w:ascii="Calibri" w:hAnsi="Calibri" w:cs="Calibri"/>
              </w:rPr>
              <w:t xml:space="preserve"> </w:t>
            </w:r>
            <w:r w:rsidR="00160CCE">
              <w:rPr>
                <w:rFonts w:ascii="Calibri" w:hAnsi="Calibri" w:cs="Calibri"/>
              </w:rPr>
              <w:t>Zmiana</w:t>
            </w:r>
            <w:r w:rsidRPr="00F2736A">
              <w:rPr>
                <w:rFonts w:ascii="Calibri" w:hAnsi="Calibri" w:cs="Calibri"/>
              </w:rPr>
              <w:t xml:space="preserve"> ta </w:t>
            </w:r>
            <w:r w:rsidR="00160CCE">
              <w:rPr>
                <w:rFonts w:ascii="Calibri" w:hAnsi="Calibri" w:cs="Calibri"/>
              </w:rPr>
              <w:t xml:space="preserve">będzie poprzedzona analizą w zakresie dokonania ewentualnych zmian </w:t>
            </w:r>
            <w:r w:rsidRPr="00F2736A">
              <w:rPr>
                <w:rFonts w:ascii="Calibri" w:hAnsi="Calibri" w:cs="Calibri"/>
              </w:rPr>
              <w:t>prawnych</w:t>
            </w:r>
            <w:r w:rsidR="00160CCE">
              <w:rPr>
                <w:rFonts w:ascii="Calibri" w:hAnsi="Calibri" w:cs="Calibri"/>
              </w:rPr>
              <w:t>.</w:t>
            </w:r>
          </w:p>
        </w:tc>
      </w:tr>
      <w:tr w:rsidR="00C80003" w:rsidRPr="00C80003" w14:paraId="576624BE" w14:textId="77777777" w:rsidTr="00C80003">
        <w:tc>
          <w:tcPr>
            <w:tcW w:w="561" w:type="dxa"/>
          </w:tcPr>
          <w:p w14:paraId="7AD6BF53" w14:textId="6B802CE6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1153" w:type="dxa"/>
          </w:tcPr>
          <w:p w14:paraId="01A35AF4" w14:textId="0EFE07BF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MRPiPS</w:t>
            </w:r>
          </w:p>
        </w:tc>
        <w:tc>
          <w:tcPr>
            <w:tcW w:w="1683" w:type="dxa"/>
          </w:tcPr>
          <w:p w14:paraId="75BBE3FD" w14:textId="77777777" w:rsidR="00C80003" w:rsidRPr="00C80003" w:rsidRDefault="00C80003" w:rsidP="00C80003">
            <w:pPr>
              <w:pStyle w:val="Other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5.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GŁÓWNE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>RYZYKA oraz</w:t>
            </w:r>
          </w:p>
          <w:p w14:paraId="1B76DA7A" w14:textId="44265B31" w:rsidR="00C80003" w:rsidRPr="00C80003" w:rsidRDefault="00C80003" w:rsidP="00C80003">
            <w:pPr>
              <w:rPr>
                <w:rFonts w:ascii="Calibri" w:hAnsi="Calibri" w:cs="Calibri"/>
              </w:rPr>
            </w:pP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>1.1 Identyfikacja problemu</w:t>
            </w:r>
          </w:p>
        </w:tc>
        <w:tc>
          <w:tcPr>
            <w:tcW w:w="4820" w:type="dxa"/>
          </w:tcPr>
          <w:p w14:paraId="6D265B44" w14:textId="77777777" w:rsidR="00C80003" w:rsidRPr="00C80003" w:rsidRDefault="00C80003" w:rsidP="00C80003">
            <w:pPr>
              <w:pStyle w:val="Other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Projekt wskazuje ryzyko „Niskiej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jakości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danych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źródłowych”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jedynie w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kontekście opóźnień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w migracji. Ignoruje to krytyczny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wpływ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na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życie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>OzN.</w:t>
            </w:r>
          </w:p>
          <w:p w14:paraId="39A82F98" w14:textId="73882800" w:rsidR="00C80003" w:rsidRPr="00C80003" w:rsidRDefault="00C80003" w:rsidP="00C80003">
            <w:pPr>
              <w:rPr>
                <w:rFonts w:ascii="Calibri" w:hAnsi="Calibri" w:cs="Calibri"/>
              </w:rPr>
            </w:pP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W razie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błędów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migracyjnych lub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opóźnień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w synchronizacji API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między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EKSMOoN a CEPiK, baza CEPKP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wykaże, że ważna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papierowa karta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leżąca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za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szybą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jest „nieaktywna”. Skutkuje to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niesłusznym nałożeniem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mandatu na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osobę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z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niepełnosprawnością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lub odholowaniem jej pojazdu bez natychmiastowej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możliwości wyjaśnienia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>sprawy.</w:t>
            </w:r>
          </w:p>
        </w:tc>
        <w:tc>
          <w:tcPr>
            <w:tcW w:w="5114" w:type="dxa"/>
          </w:tcPr>
          <w:p w14:paraId="0436B9AE" w14:textId="5FE4BDBC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Uzupełnić zapisy</w:t>
            </w:r>
          </w:p>
        </w:tc>
        <w:tc>
          <w:tcPr>
            <w:tcW w:w="1548" w:type="dxa"/>
          </w:tcPr>
          <w:p w14:paraId="427E0B6C" w14:textId="40E30D74" w:rsidR="00C80003" w:rsidRPr="00C80003" w:rsidRDefault="00755E0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Ryzyko zostało poprawione</w:t>
            </w:r>
            <w:r w:rsidR="005058DB">
              <w:rPr>
                <w:rFonts w:ascii="Calibri" w:hAnsi="Calibri" w:cs="Calibri"/>
              </w:rPr>
              <w:t xml:space="preserve">. Dodatkowo informujemy, że baza CEPKP będzie zasilana informacjami o kartach parkingowych za pomocą API przez EKSMOoN. </w:t>
            </w:r>
          </w:p>
        </w:tc>
      </w:tr>
      <w:tr w:rsidR="00C80003" w:rsidRPr="00C80003" w14:paraId="3A5B9501" w14:textId="77777777" w:rsidTr="00C80003">
        <w:tc>
          <w:tcPr>
            <w:tcW w:w="561" w:type="dxa"/>
          </w:tcPr>
          <w:p w14:paraId="03674CD1" w14:textId="2F475796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3</w:t>
            </w:r>
          </w:p>
        </w:tc>
        <w:tc>
          <w:tcPr>
            <w:tcW w:w="1153" w:type="dxa"/>
          </w:tcPr>
          <w:p w14:paraId="2E6E0DE2" w14:textId="427BF132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MRPiPS</w:t>
            </w:r>
          </w:p>
        </w:tc>
        <w:tc>
          <w:tcPr>
            <w:tcW w:w="1683" w:type="dxa"/>
          </w:tcPr>
          <w:p w14:paraId="2CFAA7D9" w14:textId="77AF03BE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3. KAMIENIE MILOWE oraz 2.4 Produkty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>końcowe</w:t>
            </w:r>
          </w:p>
        </w:tc>
        <w:tc>
          <w:tcPr>
            <w:tcW w:w="4820" w:type="dxa"/>
          </w:tcPr>
          <w:p w14:paraId="2705F2F8" w14:textId="584E1A55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Raport z testu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dostępności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WCAG zaplanowano na listopad 2028 r. (2028-11-20).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Jednakże rozwój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>systemu, testy integracyjne, UAT/E2E (do 2028-12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softHyphen/>
              <w:t xml:space="preserve">08), testy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bezpieczeństwa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(do 2029-01-10) oraz ostateczne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wdrożenie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>bazy CEPiK 2.0 (do 2029-01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softHyphen/>
              <w:t xml:space="preserve">18) zaplanowane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są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po tym audycie. Zmiany w kodzie wprowadzane po listopadzie 2028 r.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mogą całkowicie zepsuć dostępność cyfrową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systemu dla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urzędników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ze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szczególnymi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potrzebami (np. niewidomych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lastRenderedPageBreak/>
              <w:t xml:space="preserve">pracowników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powiatowych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zespołów obsługujących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>sprawy przez GUI).</w:t>
            </w:r>
          </w:p>
        </w:tc>
        <w:tc>
          <w:tcPr>
            <w:tcW w:w="5114" w:type="dxa"/>
          </w:tcPr>
          <w:p w14:paraId="2A46E458" w14:textId="654FAEE9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lastRenderedPageBreak/>
              <w:t>Uzupełnić zapisy</w:t>
            </w:r>
          </w:p>
        </w:tc>
        <w:tc>
          <w:tcPr>
            <w:tcW w:w="1548" w:type="dxa"/>
          </w:tcPr>
          <w:p w14:paraId="7CB2CC0C" w14:textId="7020AE59" w:rsidR="00C80003" w:rsidRPr="00C80003" w:rsidRDefault="00C800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Testy WCAG zostały zaplanowane po zakończeniu developmentu i zamrożeniu kodu źródłowego. Testy integracyjne UAT/E2E, testy bezpieczeństwa nie powinny mieć wpływu na dostępność </w:t>
            </w:r>
            <w:r>
              <w:rPr>
                <w:rFonts w:ascii="Calibri" w:hAnsi="Calibri" w:cs="Calibri"/>
              </w:rPr>
              <w:lastRenderedPageBreak/>
              <w:t xml:space="preserve">systemu, na wcześniej wymienionych testach zakładane są wyłącznie ewentualne błędy techniczne związane z działaniem aplikacji do udostępniania danych dla organów uprawnionych. Ponadto w trakcie realizacji całości projektu trwają konsultacje z zespołem odpowiedzialnym za WCAG. </w:t>
            </w:r>
            <w:r w:rsidR="0015004E">
              <w:rPr>
                <w:rFonts w:ascii="Calibri" w:hAnsi="Calibri" w:cs="Calibri"/>
              </w:rPr>
              <w:t xml:space="preserve">Po ww. testach możemy zaproponować ewentualne przeprowadzenie retestów. </w:t>
            </w:r>
            <w:r>
              <w:rPr>
                <w:rFonts w:ascii="Calibri" w:hAnsi="Calibri" w:cs="Calibri"/>
              </w:rPr>
              <w:t>Dodatkowo informujemy, że w ramach projektu nie jest tworzona żadna aplikacja dla powiatowych zespołów ds. orzekania o niepełnosprawności.</w:t>
            </w:r>
            <w:r w:rsidR="0015004E">
              <w:rPr>
                <w:rFonts w:ascii="Calibri" w:hAnsi="Calibri" w:cs="Calibri"/>
              </w:rPr>
              <w:t xml:space="preserve"> Modyfikowana będzie aplikacja webowa w zakresie udostępniania danych o kartach parkingowych na potrzeby organów uprawnionych np. Straż Miejsk</w:t>
            </w:r>
            <w:r w:rsidR="00160CCE">
              <w:rPr>
                <w:rFonts w:ascii="Calibri" w:hAnsi="Calibri" w:cs="Calibri"/>
              </w:rPr>
              <w:t>ich/Gminnych</w:t>
            </w:r>
            <w:r w:rsidR="0015004E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 xml:space="preserve"> </w:t>
            </w:r>
          </w:p>
        </w:tc>
      </w:tr>
      <w:tr w:rsidR="00C80003" w:rsidRPr="00C80003" w14:paraId="4253E711" w14:textId="77777777" w:rsidTr="00C80003">
        <w:tc>
          <w:tcPr>
            <w:tcW w:w="561" w:type="dxa"/>
          </w:tcPr>
          <w:p w14:paraId="75C5246C" w14:textId="5EF7DBD9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lastRenderedPageBreak/>
              <w:t>4</w:t>
            </w:r>
          </w:p>
        </w:tc>
        <w:tc>
          <w:tcPr>
            <w:tcW w:w="1153" w:type="dxa"/>
          </w:tcPr>
          <w:p w14:paraId="20B8CF80" w14:textId="27E0D798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MRPiPS</w:t>
            </w:r>
          </w:p>
        </w:tc>
        <w:tc>
          <w:tcPr>
            <w:tcW w:w="1683" w:type="dxa"/>
          </w:tcPr>
          <w:p w14:paraId="271343E3" w14:textId="1C10DDEF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Wykaz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poszczególnych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>pozycji kosztowych (Koszty UX i grafiki)</w:t>
            </w:r>
          </w:p>
        </w:tc>
        <w:tc>
          <w:tcPr>
            <w:tcW w:w="4820" w:type="dxa"/>
          </w:tcPr>
          <w:p w14:paraId="292030A9" w14:textId="16184F52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Choć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na koszty UX przewidziano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kwotę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750 797,47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zł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i wskazano na „testowanie systemu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wśród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docelowych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użytkowników”,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dokument nie precyzuje, czy testy makiet i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prototypów obejmą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osoby ze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szczególnymi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potrzebami. Projektowanie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interfejsów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(np. GUI trybu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urzędowego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dla powiatowych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zespołów)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bez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bezpośredniego udziału słabowidzących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lub niewidomych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urzędników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grozi stworzeniem systemu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niedostępnego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w codziennej pracy dla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niepełnosprawnych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>kadr.</w:t>
            </w:r>
          </w:p>
        </w:tc>
        <w:tc>
          <w:tcPr>
            <w:tcW w:w="5114" w:type="dxa"/>
          </w:tcPr>
          <w:p w14:paraId="52F78B06" w14:textId="3CF603C6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Uzupełnić zapisy</w:t>
            </w:r>
          </w:p>
        </w:tc>
        <w:tc>
          <w:tcPr>
            <w:tcW w:w="1548" w:type="dxa"/>
          </w:tcPr>
          <w:p w14:paraId="7D9D57E4" w14:textId="06D3753C" w:rsidR="00C80003" w:rsidRPr="00C80003" w:rsidRDefault="00157DE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Jw. - w ramach </w:t>
            </w:r>
            <w:r w:rsidR="00160CCE">
              <w:rPr>
                <w:rFonts w:ascii="Calibri" w:hAnsi="Calibri" w:cs="Calibri"/>
              </w:rPr>
              <w:t>niniejszego</w:t>
            </w:r>
            <w:r>
              <w:rPr>
                <w:rFonts w:ascii="Calibri" w:hAnsi="Calibri" w:cs="Calibri"/>
              </w:rPr>
              <w:t xml:space="preserve"> projektu COI nie tworzy dla powiatowych zespołów aplikacji. </w:t>
            </w:r>
            <w:r w:rsidR="00160CCE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plikacje i systemy są </w:t>
            </w:r>
            <w:r w:rsidR="00AB4991">
              <w:rPr>
                <w:rFonts w:ascii="Calibri" w:hAnsi="Calibri" w:cs="Calibri"/>
              </w:rPr>
              <w:t xml:space="preserve">dostarczane </w:t>
            </w:r>
            <w:r>
              <w:rPr>
                <w:rFonts w:ascii="Calibri" w:hAnsi="Calibri" w:cs="Calibri"/>
              </w:rPr>
              <w:t>powiatowym zespołom</w:t>
            </w:r>
            <w:r w:rsidR="00AB4991">
              <w:rPr>
                <w:rFonts w:ascii="Calibri" w:hAnsi="Calibri" w:cs="Calibri"/>
              </w:rPr>
              <w:t xml:space="preserve"> przez MRPiPS. Projekt zakłada </w:t>
            </w:r>
            <w:r w:rsidR="00160CCE">
              <w:rPr>
                <w:rFonts w:ascii="Calibri" w:hAnsi="Calibri" w:cs="Calibri"/>
              </w:rPr>
              <w:t>udostępnienie</w:t>
            </w:r>
            <w:r w:rsidR="00AB4991">
              <w:rPr>
                <w:rFonts w:ascii="Calibri" w:hAnsi="Calibri" w:cs="Calibri"/>
              </w:rPr>
              <w:t xml:space="preserve"> </w:t>
            </w:r>
            <w:r w:rsidR="00160CCE">
              <w:rPr>
                <w:rFonts w:ascii="Calibri" w:hAnsi="Calibri" w:cs="Calibri"/>
              </w:rPr>
              <w:t>rozszerzonej aplikacji o moduł dotyczący kart parkingowych</w:t>
            </w:r>
            <w:r w:rsidR="00A26F6E">
              <w:rPr>
                <w:rFonts w:ascii="Calibri" w:hAnsi="Calibri" w:cs="Calibri"/>
              </w:rPr>
              <w:t xml:space="preserve"> na  </w:t>
            </w:r>
            <w:r w:rsidR="00AB4991">
              <w:rPr>
                <w:rFonts w:ascii="Calibri" w:hAnsi="Calibri" w:cs="Calibri"/>
              </w:rPr>
              <w:t xml:space="preserve"> potrzeby udostępniania tych informacji organom uprawnionym podejmujących czynności służbowe w zakresie kontroli pojazdów zaparkowanych na miejscach przeznaczonych dla osób niepełnosprawnych. </w:t>
            </w:r>
            <w:r w:rsidR="00A26F6E">
              <w:rPr>
                <w:rFonts w:ascii="Calibri" w:hAnsi="Calibri" w:cs="Calibri"/>
              </w:rPr>
              <w:t>Moduł będzie spełniał wymagania dostępności cyfrowej WCAG.</w:t>
            </w:r>
          </w:p>
        </w:tc>
      </w:tr>
      <w:tr w:rsidR="00C80003" w:rsidRPr="00C80003" w14:paraId="5C1FDDF6" w14:textId="77777777" w:rsidTr="00C80003">
        <w:tc>
          <w:tcPr>
            <w:tcW w:w="561" w:type="dxa"/>
          </w:tcPr>
          <w:p w14:paraId="32B66A5F" w14:textId="5A8A44DA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5</w:t>
            </w:r>
          </w:p>
        </w:tc>
        <w:tc>
          <w:tcPr>
            <w:tcW w:w="1153" w:type="dxa"/>
          </w:tcPr>
          <w:p w14:paraId="1B1B9D73" w14:textId="77BBA02E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MRPiPS</w:t>
            </w:r>
          </w:p>
        </w:tc>
        <w:tc>
          <w:tcPr>
            <w:tcW w:w="1683" w:type="dxa"/>
          </w:tcPr>
          <w:p w14:paraId="0D73FD94" w14:textId="1442F7F4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Wykaz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poszczególnych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pozycji kosztowych (Szkolenia) oraz Produkty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lastRenderedPageBreak/>
              <w:t xml:space="preserve">końcowe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>(Instrukcje/webi nar)</w:t>
            </w:r>
          </w:p>
        </w:tc>
        <w:tc>
          <w:tcPr>
            <w:tcW w:w="4820" w:type="dxa"/>
          </w:tcPr>
          <w:p w14:paraId="35D3BE1B" w14:textId="6C0A6540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lastRenderedPageBreak/>
              <w:t xml:space="preserve">W pozycji „Szkolenia” zaplanowano 763 679,33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zł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na prezentacje, przewodniki oraz webinary. Brak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określenia wymogów dostępności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cyfrowej dla tych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materiałów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stwarza ryzyko,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że niepełnosprawni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pracownicy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urzędów zostaną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wykluczeni ze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szkoleń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(np. brak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napisów/PJM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w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lastRenderedPageBreak/>
              <w:t xml:space="preserve">webinarach dla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osób niesłyszących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czy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niedostępne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struktury PDF dla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osób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niewidomych). Szkolenia powinny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również uczyć obsługi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systemu za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pomocą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technologii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>asystujących.</w:t>
            </w:r>
          </w:p>
        </w:tc>
        <w:tc>
          <w:tcPr>
            <w:tcW w:w="5114" w:type="dxa"/>
          </w:tcPr>
          <w:p w14:paraId="1730D326" w14:textId="44FBA8AF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lastRenderedPageBreak/>
              <w:t>Uzupełnić zapisy</w:t>
            </w:r>
          </w:p>
        </w:tc>
        <w:tc>
          <w:tcPr>
            <w:tcW w:w="1548" w:type="dxa"/>
          </w:tcPr>
          <w:p w14:paraId="47211B44" w14:textId="479E88DE" w:rsidR="00C80003" w:rsidRPr="00C80003" w:rsidRDefault="006160B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jw. – w ramach projektu nie tworzy się aplikacji dla powiatowych zespołów. Wszelkie przygotowywane m</w:t>
            </w:r>
            <w:r w:rsidR="00D436AB">
              <w:rPr>
                <w:rFonts w:ascii="Calibri" w:hAnsi="Calibri" w:cs="Calibri"/>
              </w:rPr>
              <w:t>ateriały</w:t>
            </w:r>
            <w:r>
              <w:rPr>
                <w:rFonts w:ascii="Calibri" w:hAnsi="Calibri" w:cs="Calibri"/>
              </w:rPr>
              <w:t xml:space="preserve"> w zakresie </w:t>
            </w:r>
            <w:r>
              <w:rPr>
                <w:rFonts w:ascii="Calibri" w:hAnsi="Calibri" w:cs="Calibri"/>
              </w:rPr>
              <w:lastRenderedPageBreak/>
              <w:t>modyfikowanych aplikacji</w:t>
            </w:r>
            <w:r w:rsidR="00D436AB">
              <w:rPr>
                <w:rFonts w:ascii="Calibri" w:hAnsi="Calibri" w:cs="Calibri"/>
              </w:rPr>
              <w:t xml:space="preserve"> będą zgodne z WCAG – podręczniki</w:t>
            </w:r>
            <w:r>
              <w:rPr>
                <w:rFonts w:ascii="Calibri" w:hAnsi="Calibri" w:cs="Calibri"/>
              </w:rPr>
              <w:t>, prezentacje, itp.</w:t>
            </w:r>
            <w:r w:rsidR="00D436A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Projekt zakłada modyfikacje istniejącej w COI aplikacji w zakresie kart parkingowych na potrzeby udostępniania tych informacji organom uprawnionym podejmujących czynności służbowe w zakresie kontroli pojazdów zaparkowanych na miejscach uprzywilejowanych przeznaczonych dla osób niepełnosprawnych. Dane dla powiatowych zespołów będą nadal dostarczane przez MRPiPS za pomocą aplikacji i systemu EKSMOoN.</w:t>
            </w:r>
          </w:p>
        </w:tc>
      </w:tr>
      <w:tr w:rsidR="00C80003" w:rsidRPr="00C80003" w14:paraId="78150C6A" w14:textId="77777777" w:rsidTr="00C80003">
        <w:tc>
          <w:tcPr>
            <w:tcW w:w="561" w:type="dxa"/>
          </w:tcPr>
          <w:p w14:paraId="11CBC546" w14:textId="05805343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1153" w:type="dxa"/>
          </w:tcPr>
          <w:p w14:paraId="515BD2EA" w14:textId="73FD0D3A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t>MRPiPS</w:t>
            </w:r>
          </w:p>
        </w:tc>
        <w:tc>
          <w:tcPr>
            <w:tcW w:w="1683" w:type="dxa"/>
          </w:tcPr>
          <w:p w14:paraId="4AB73599" w14:textId="26C5979F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2.2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Udostępnione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e-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usługi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oraz Produkty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końcowe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lastRenderedPageBreak/>
              <w:t>(Specyfikacja API)</w:t>
            </w:r>
          </w:p>
        </w:tc>
        <w:tc>
          <w:tcPr>
            <w:tcW w:w="4820" w:type="dxa"/>
          </w:tcPr>
          <w:p w14:paraId="718FF935" w14:textId="084E549A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lastRenderedPageBreak/>
              <w:t xml:space="preserve">Integracja z EKSMOoN za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pomocą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API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służy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zasileniu bazy CEPKP danymi o kartach. Brak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wyraźnego określenia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zasady minimalizacji danych (RODO) niesie ryzyko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przesyłania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do CEPKP (i dalej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służbom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kontrolnym) informacji o przyczynie lub kodzie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niepełnosprawności.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lastRenderedPageBreak/>
              <w:t xml:space="preserve">Służby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kontrolne nie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 xml:space="preserve">mają uprawnień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</w:rPr>
              <w:t xml:space="preserve">do przetwarzania danych </w:t>
            </w:r>
            <w:r w:rsidRPr="00C80003">
              <w:rPr>
                <w:rStyle w:val="Other0"/>
                <w:rFonts w:ascii="Calibri" w:hAnsi="Calibri" w:cs="Calibri"/>
                <w:sz w:val="22"/>
                <w:szCs w:val="22"/>
                <w:lang w:eastAsia="pl-PL" w:bidi="pl-PL"/>
              </w:rPr>
              <w:t>medycznych - potrzebują jedynie zero-jedynkowej informacji o ważności karty.</w:t>
            </w:r>
          </w:p>
        </w:tc>
        <w:tc>
          <w:tcPr>
            <w:tcW w:w="5114" w:type="dxa"/>
          </w:tcPr>
          <w:p w14:paraId="3B586329" w14:textId="05830EAE" w:rsidR="00C80003" w:rsidRPr="00C80003" w:rsidRDefault="00C80003">
            <w:pPr>
              <w:rPr>
                <w:rFonts w:ascii="Calibri" w:hAnsi="Calibri" w:cs="Calibri"/>
              </w:rPr>
            </w:pPr>
            <w:r w:rsidRPr="00C80003">
              <w:rPr>
                <w:rFonts w:ascii="Calibri" w:hAnsi="Calibri" w:cs="Calibri"/>
              </w:rPr>
              <w:lastRenderedPageBreak/>
              <w:t>Uzupełnić zapisy</w:t>
            </w:r>
          </w:p>
        </w:tc>
        <w:tc>
          <w:tcPr>
            <w:tcW w:w="1548" w:type="dxa"/>
          </w:tcPr>
          <w:p w14:paraId="48E0EDF1" w14:textId="37ABDB23" w:rsidR="00C80003" w:rsidRPr="00C80003" w:rsidRDefault="00D436A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Zakres danych przekazywanych z EKSMO</w:t>
            </w:r>
            <w:r w:rsidR="00325652">
              <w:rPr>
                <w:rFonts w:ascii="Calibri" w:hAnsi="Calibri" w:cs="Calibri"/>
              </w:rPr>
              <w:t>o</w:t>
            </w:r>
            <w:r>
              <w:rPr>
                <w:rFonts w:ascii="Calibri" w:hAnsi="Calibri" w:cs="Calibri"/>
              </w:rPr>
              <w:t>N</w:t>
            </w:r>
            <w:r w:rsidR="00704A1C">
              <w:rPr>
                <w:rFonts w:ascii="Calibri" w:hAnsi="Calibri" w:cs="Calibri"/>
              </w:rPr>
              <w:t xml:space="preserve"> do CEPKP</w:t>
            </w:r>
            <w:r>
              <w:rPr>
                <w:rFonts w:ascii="Calibri" w:hAnsi="Calibri" w:cs="Calibri"/>
              </w:rPr>
              <w:t xml:space="preserve"> jest </w:t>
            </w:r>
            <w:r w:rsidR="00704A1C">
              <w:rPr>
                <w:rFonts w:ascii="Calibri" w:hAnsi="Calibri" w:cs="Calibri"/>
              </w:rPr>
              <w:t>ściśle</w:t>
            </w:r>
            <w:r>
              <w:rPr>
                <w:rFonts w:ascii="Calibri" w:hAnsi="Calibri" w:cs="Calibri"/>
              </w:rPr>
              <w:t xml:space="preserve"> określony w ustawie </w:t>
            </w:r>
            <w:r w:rsidR="00A26F6E">
              <w:rPr>
                <w:rFonts w:ascii="Calibri" w:hAnsi="Calibri" w:cs="Calibri"/>
              </w:rPr>
              <w:t>- P</w:t>
            </w:r>
            <w:r w:rsidR="00704A1C">
              <w:rPr>
                <w:rFonts w:ascii="Calibri" w:hAnsi="Calibri" w:cs="Calibri"/>
              </w:rPr>
              <w:t xml:space="preserve">rawo o ruchu drogowym </w:t>
            </w:r>
            <w:r w:rsidR="00325652">
              <w:rPr>
                <w:rFonts w:ascii="Calibri" w:hAnsi="Calibri" w:cs="Calibri"/>
              </w:rPr>
              <w:t>w a</w:t>
            </w:r>
            <w:r w:rsidR="00704A1C" w:rsidRPr="00704A1C">
              <w:rPr>
                <w:rFonts w:ascii="Calibri" w:hAnsi="Calibri" w:cs="Calibri"/>
              </w:rPr>
              <w:t>rt. 100g</w:t>
            </w:r>
            <w:r w:rsidR="00704A1C">
              <w:rPr>
                <w:rFonts w:ascii="Calibri" w:hAnsi="Calibri" w:cs="Calibri"/>
              </w:rPr>
              <w:t xml:space="preserve"> </w:t>
            </w:r>
            <w:r w:rsidR="00704A1C">
              <w:rPr>
                <w:rFonts w:ascii="Calibri" w:hAnsi="Calibri" w:cs="Calibri"/>
              </w:rPr>
              <w:lastRenderedPageBreak/>
              <w:t xml:space="preserve">ust. 1. Zgodnie z tym artykułem </w:t>
            </w:r>
            <w:r w:rsidR="00325652">
              <w:rPr>
                <w:rFonts w:ascii="Calibri" w:hAnsi="Calibri" w:cs="Calibri"/>
              </w:rPr>
              <w:t>w</w:t>
            </w:r>
            <w:r w:rsidR="00704A1C">
              <w:rPr>
                <w:rFonts w:ascii="Calibri" w:hAnsi="Calibri" w:cs="Calibri"/>
              </w:rPr>
              <w:t xml:space="preserve"> CEPKP nie będą </w:t>
            </w:r>
            <w:r w:rsidR="00325652">
              <w:rPr>
                <w:rFonts w:ascii="Calibri" w:hAnsi="Calibri" w:cs="Calibri"/>
              </w:rPr>
              <w:t>gromadzone</w:t>
            </w:r>
            <w:r w:rsidR="00704A1C">
              <w:rPr>
                <w:rFonts w:ascii="Calibri" w:hAnsi="Calibri" w:cs="Calibri"/>
              </w:rPr>
              <w:t xml:space="preserve"> dane o przyczynie lub kodzie niepełnosprawności, a także żadne inne dane medyczne</w:t>
            </w:r>
            <w:r w:rsidR="00325652">
              <w:rPr>
                <w:rFonts w:ascii="Calibri" w:hAnsi="Calibri" w:cs="Calibri"/>
              </w:rPr>
              <w:t xml:space="preserve"> posiadaczy kart parkingowych</w:t>
            </w:r>
            <w:r w:rsidR="00704A1C">
              <w:rPr>
                <w:rFonts w:ascii="Calibri" w:hAnsi="Calibri" w:cs="Calibri"/>
              </w:rPr>
              <w:t>.</w:t>
            </w:r>
          </w:p>
        </w:tc>
      </w:tr>
    </w:tbl>
    <w:p w14:paraId="59714604" w14:textId="77777777" w:rsidR="00B85936" w:rsidRPr="00C80003" w:rsidRDefault="00B85936">
      <w:pPr>
        <w:rPr>
          <w:rFonts w:ascii="Calibri" w:hAnsi="Calibri" w:cs="Calibri"/>
        </w:rPr>
      </w:pPr>
    </w:p>
    <w:sectPr w:rsidR="00B85936" w:rsidRPr="00C80003" w:rsidSect="00C8000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37446"/>
    <w:multiLevelType w:val="hybridMultilevel"/>
    <w:tmpl w:val="43A6B70A"/>
    <w:lvl w:ilvl="0" w:tplc="6C2E9B72">
      <w:start w:val="1"/>
      <w:numFmt w:val="decimal"/>
      <w:pStyle w:val="CS-N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442778">
    <w:abstractNumId w:val="0"/>
  </w:num>
  <w:num w:numId="2" w16cid:durableId="1389109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003"/>
    <w:rsid w:val="0015004E"/>
    <w:rsid w:val="00157DEC"/>
    <w:rsid w:val="00160CCE"/>
    <w:rsid w:val="00325652"/>
    <w:rsid w:val="0050000A"/>
    <w:rsid w:val="005058DB"/>
    <w:rsid w:val="00590F0B"/>
    <w:rsid w:val="00592C20"/>
    <w:rsid w:val="006160BD"/>
    <w:rsid w:val="006818D8"/>
    <w:rsid w:val="00704A1C"/>
    <w:rsid w:val="00755E08"/>
    <w:rsid w:val="00A26F6E"/>
    <w:rsid w:val="00AB4991"/>
    <w:rsid w:val="00B20D70"/>
    <w:rsid w:val="00B85936"/>
    <w:rsid w:val="00C2677A"/>
    <w:rsid w:val="00C30030"/>
    <w:rsid w:val="00C721BF"/>
    <w:rsid w:val="00C80003"/>
    <w:rsid w:val="00D436AB"/>
    <w:rsid w:val="00EE053F"/>
    <w:rsid w:val="00F00221"/>
    <w:rsid w:val="00F2736A"/>
    <w:rsid w:val="00F5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BFC80"/>
  <w15:chartTrackingRefBased/>
  <w15:docId w15:val="{26E24722-EB6C-4D45-8D9E-CA29165A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85C"/>
  </w:style>
  <w:style w:type="paragraph" w:styleId="Nagwek1">
    <w:name w:val="heading 1"/>
    <w:basedOn w:val="Normalny"/>
    <w:next w:val="Normalny"/>
    <w:link w:val="Nagwek1Znak"/>
    <w:uiPriority w:val="9"/>
    <w:qFormat/>
    <w:rsid w:val="00F508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508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508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085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000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00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00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00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00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1blueitalic">
    <w:name w:val="Body text 1 + blue + italic"/>
    <w:basedOn w:val="Normalny"/>
    <w:autoRedefine/>
    <w:qFormat/>
    <w:rsid w:val="00F5085C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F5085C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F5085C"/>
    <w:rPr>
      <w:rFonts w:ascii="Arial" w:eastAsia="Times New Roman" w:hAnsi="Arial" w:cs="Arial"/>
      <w:b/>
      <w:iCs/>
      <w:color w:val="0070C0"/>
    </w:rPr>
  </w:style>
  <w:style w:type="paragraph" w:customStyle="1" w:styleId="CS-Tytu">
    <w:name w:val="CS-Tytuł"/>
    <w:basedOn w:val="Normalny"/>
    <w:link w:val="CS-TytuZnak"/>
    <w:qFormat/>
    <w:rsid w:val="00F5085C"/>
    <w:pPr>
      <w:keepNext/>
      <w:keepLines/>
      <w:pBdr>
        <w:bottom w:val="single" w:sz="18" w:space="1" w:color="003D80"/>
      </w:pBdr>
      <w:spacing w:before="240"/>
      <w:ind w:left="3402" w:right="3402"/>
      <w:jc w:val="center"/>
      <w:outlineLvl w:val="0"/>
    </w:pPr>
    <w:rPr>
      <w:rFonts w:ascii="Arial" w:eastAsiaTheme="majorEastAsia" w:hAnsi="Arial" w:cs="Arial"/>
      <w:b/>
      <w:color w:val="003D80"/>
      <w:sz w:val="32"/>
      <w:szCs w:val="20"/>
    </w:rPr>
  </w:style>
  <w:style w:type="character" w:customStyle="1" w:styleId="CS-TytuZnak">
    <w:name w:val="CS-Tytuł Znak"/>
    <w:basedOn w:val="Domylnaczcionkaakapitu"/>
    <w:link w:val="CS-Tytu"/>
    <w:rsid w:val="00F5085C"/>
    <w:rPr>
      <w:rFonts w:ascii="Arial" w:eastAsiaTheme="majorEastAsia" w:hAnsi="Arial" w:cs="Arial"/>
      <w:b/>
      <w:color w:val="003D80"/>
      <w:sz w:val="32"/>
      <w:szCs w:val="20"/>
    </w:rPr>
  </w:style>
  <w:style w:type="paragraph" w:customStyle="1" w:styleId="CS-N1">
    <w:name w:val="CS-N1"/>
    <w:basedOn w:val="Nagwek2"/>
    <w:next w:val="CS-Normalny"/>
    <w:link w:val="CS-N1Znak"/>
    <w:qFormat/>
    <w:rsid w:val="00F5085C"/>
    <w:pPr>
      <w:numPr>
        <w:numId w:val="2"/>
      </w:numPr>
      <w:pBdr>
        <w:bottom w:val="single" w:sz="18" w:space="1" w:color="003D80"/>
      </w:pBdr>
      <w:spacing w:before="240" w:after="160"/>
    </w:pPr>
    <w:rPr>
      <w:rFonts w:ascii="Arial" w:hAnsi="Arial"/>
      <w:b/>
      <w:color w:val="003D80"/>
      <w:sz w:val="28"/>
    </w:rPr>
  </w:style>
  <w:style w:type="character" w:customStyle="1" w:styleId="CS-N1Znak">
    <w:name w:val="CS-N1 Znak"/>
    <w:basedOn w:val="Domylnaczcionkaakapitu"/>
    <w:link w:val="CS-N1"/>
    <w:rsid w:val="00F5085C"/>
    <w:rPr>
      <w:rFonts w:ascii="Arial" w:eastAsiaTheme="majorEastAsia" w:hAnsi="Arial" w:cstheme="majorBidi"/>
      <w:b/>
      <w:color w:val="003D80"/>
      <w:sz w:val="28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F508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S-Normalny">
    <w:name w:val="CS-Normalny"/>
    <w:basedOn w:val="Normalny"/>
    <w:link w:val="CS-NormalnyZnak"/>
    <w:qFormat/>
    <w:rsid w:val="00F5085C"/>
    <w:rPr>
      <w:rFonts w:ascii="Arial" w:hAnsi="Arial" w:cs="Arial"/>
      <w:sz w:val="20"/>
    </w:rPr>
  </w:style>
  <w:style w:type="character" w:customStyle="1" w:styleId="CS-NormalnyZnak">
    <w:name w:val="CS-Normalny Znak"/>
    <w:basedOn w:val="Domylnaczcionkaakapitu"/>
    <w:link w:val="CS-Normalny"/>
    <w:rsid w:val="00F5085C"/>
    <w:rPr>
      <w:rFonts w:ascii="Arial" w:hAnsi="Arial" w:cs="Arial"/>
      <w:sz w:val="20"/>
    </w:rPr>
  </w:style>
  <w:style w:type="paragraph" w:customStyle="1" w:styleId="CS-TabN1">
    <w:name w:val="CS-Tab:N1"/>
    <w:basedOn w:val="Normalny"/>
    <w:link w:val="CS-TabN1Znak"/>
    <w:qFormat/>
    <w:rsid w:val="00F5085C"/>
    <w:pPr>
      <w:spacing w:before="60" w:after="60" w:line="240" w:lineRule="auto"/>
    </w:pPr>
    <w:rPr>
      <w:rFonts w:ascii="Arial" w:hAnsi="Arial" w:cs="Arial"/>
      <w:b/>
      <w:sz w:val="20"/>
      <w:szCs w:val="20"/>
    </w:rPr>
  </w:style>
  <w:style w:type="character" w:customStyle="1" w:styleId="CS-TabN1Znak">
    <w:name w:val="CS-Tab:N1 Znak"/>
    <w:basedOn w:val="Domylnaczcionkaakapitu"/>
    <w:link w:val="CS-TabN1"/>
    <w:rsid w:val="00F5085C"/>
    <w:rPr>
      <w:rFonts w:ascii="Arial" w:hAnsi="Arial" w:cs="Arial"/>
      <w:b/>
      <w:sz w:val="20"/>
      <w:szCs w:val="20"/>
    </w:rPr>
  </w:style>
  <w:style w:type="paragraph" w:customStyle="1" w:styleId="CS-TabTytu">
    <w:name w:val="CS-Tab:Tytuł"/>
    <w:basedOn w:val="CS-TabN1"/>
    <w:link w:val="CS-TabTytuZnak"/>
    <w:autoRedefine/>
    <w:qFormat/>
    <w:rsid w:val="00F5085C"/>
    <w:pPr>
      <w:spacing w:before="200" w:after="120"/>
    </w:pPr>
    <w:rPr>
      <w:rFonts w:eastAsia="Arial Unicode MS"/>
      <w:color w:val="003D80"/>
      <w:kern w:val="1"/>
    </w:rPr>
  </w:style>
  <w:style w:type="character" w:customStyle="1" w:styleId="CS-TabTytuZnak">
    <w:name w:val="CS-Tab:Tytuł Znak"/>
    <w:basedOn w:val="LegendaZnak"/>
    <w:link w:val="CS-TabTytu"/>
    <w:rsid w:val="00F5085C"/>
    <w:rPr>
      <w:rFonts w:ascii="Arial" w:eastAsia="Arial Unicode MS" w:hAnsi="Arial" w:cs="Arial"/>
      <w:b/>
      <w:bCs w:val="0"/>
      <w:color w:val="003D80"/>
      <w:kern w:val="1"/>
      <w:sz w:val="20"/>
      <w:szCs w:val="20"/>
    </w:rPr>
  </w:style>
  <w:style w:type="paragraph" w:customStyle="1" w:styleId="CS-N2">
    <w:name w:val="CS-N2"/>
    <w:basedOn w:val="Nagwek3"/>
    <w:next w:val="CS-Normalny"/>
    <w:link w:val="CS-N2Znak"/>
    <w:qFormat/>
    <w:rsid w:val="00F5085C"/>
    <w:pPr>
      <w:pBdr>
        <w:bottom w:val="single" w:sz="18" w:space="1" w:color="003D80"/>
      </w:pBdr>
      <w:spacing w:before="240" w:after="160"/>
      <w:ind w:right="7371"/>
    </w:pPr>
    <w:rPr>
      <w:rFonts w:ascii="Arial" w:hAnsi="Arial"/>
      <w:b/>
      <w:color w:val="003D80"/>
    </w:rPr>
  </w:style>
  <w:style w:type="character" w:customStyle="1" w:styleId="CS-N2Znak">
    <w:name w:val="CS-N2 Znak"/>
    <w:basedOn w:val="CS-N1Znak"/>
    <w:link w:val="CS-N2"/>
    <w:rsid w:val="00F5085C"/>
    <w:rPr>
      <w:rFonts w:ascii="Arial" w:eastAsiaTheme="majorEastAsia" w:hAnsi="Arial" w:cstheme="majorBidi"/>
      <w:b/>
      <w:color w:val="003D8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F508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S-N3">
    <w:name w:val="CS-N3"/>
    <w:basedOn w:val="Nagwek4"/>
    <w:next w:val="CS-Normalny"/>
    <w:link w:val="CS-N3Znak"/>
    <w:qFormat/>
    <w:rsid w:val="00F5085C"/>
    <w:pPr>
      <w:spacing w:before="240" w:after="120"/>
    </w:pPr>
    <w:rPr>
      <w:rFonts w:ascii="Arial" w:hAnsi="Arial"/>
      <w:b/>
      <w:i w:val="0"/>
      <w:color w:val="003D80"/>
      <w:sz w:val="20"/>
      <w:szCs w:val="24"/>
    </w:rPr>
  </w:style>
  <w:style w:type="character" w:customStyle="1" w:styleId="CS-N3Znak">
    <w:name w:val="CS-N3 Znak"/>
    <w:basedOn w:val="CS-N2Znak"/>
    <w:link w:val="CS-N3"/>
    <w:rsid w:val="00F5085C"/>
    <w:rPr>
      <w:rFonts w:ascii="Arial" w:eastAsiaTheme="majorEastAsia" w:hAnsi="Arial" w:cstheme="majorBidi"/>
      <w:b/>
      <w:iCs/>
      <w:color w:val="003D80"/>
      <w:sz w:val="20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085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S-TabT1">
    <w:name w:val="CS-Tab:T1"/>
    <w:basedOn w:val="CS-TabTytu"/>
    <w:link w:val="CS-TabT1Znak"/>
    <w:qFormat/>
    <w:rsid w:val="00F5085C"/>
    <w:pPr>
      <w:spacing w:before="40" w:after="40"/>
    </w:pPr>
    <w:rPr>
      <w:b w:val="0"/>
      <w:color w:val="000000" w:themeColor="text1"/>
    </w:rPr>
  </w:style>
  <w:style w:type="character" w:customStyle="1" w:styleId="CS-TabT1Znak">
    <w:name w:val="CS-Tab:T1 Znak"/>
    <w:basedOn w:val="CS-TabTytuZnak"/>
    <w:link w:val="CS-TabT1"/>
    <w:rsid w:val="00F5085C"/>
    <w:rPr>
      <w:rFonts w:ascii="Arial" w:eastAsia="Arial Unicode MS" w:hAnsi="Arial" w:cs="Arial"/>
      <w:b w:val="0"/>
      <w:bCs w:val="0"/>
      <w:color w:val="000000" w:themeColor="text1"/>
      <w:kern w:val="1"/>
      <w:sz w:val="20"/>
      <w:szCs w:val="20"/>
    </w:rPr>
  </w:style>
  <w:style w:type="paragraph" w:customStyle="1" w:styleId="CS-Formuy">
    <w:name w:val="CS-Formuły"/>
    <w:basedOn w:val="Normalny"/>
    <w:link w:val="CS-FormuyZnak"/>
    <w:qFormat/>
    <w:rsid w:val="00F5085C"/>
    <w:pPr>
      <w:spacing w:after="0"/>
    </w:pPr>
    <w:rPr>
      <w:sz w:val="16"/>
    </w:rPr>
  </w:style>
  <w:style w:type="character" w:customStyle="1" w:styleId="CS-FormuyZnak">
    <w:name w:val="CS-Formuły Znak"/>
    <w:basedOn w:val="Domylnaczcionkaakapitu"/>
    <w:link w:val="CS-Formuy"/>
    <w:rsid w:val="00F5085C"/>
    <w:rPr>
      <w:sz w:val="16"/>
    </w:rPr>
  </w:style>
  <w:style w:type="paragraph" w:customStyle="1" w:styleId="CS-O12">
    <w:name w:val="CS-O12"/>
    <w:basedOn w:val="Normalny"/>
    <w:link w:val="CS-O12Znak"/>
    <w:qFormat/>
    <w:rsid w:val="00F5085C"/>
    <w:pPr>
      <w:spacing w:after="0"/>
    </w:pPr>
    <w:rPr>
      <w:rFonts w:ascii="Arial" w:hAnsi="Arial"/>
      <w:sz w:val="24"/>
    </w:rPr>
  </w:style>
  <w:style w:type="character" w:customStyle="1" w:styleId="CS-O12Znak">
    <w:name w:val="CS-O12 Znak"/>
    <w:basedOn w:val="Domylnaczcionkaakapitu"/>
    <w:link w:val="CS-O12"/>
    <w:rsid w:val="00F5085C"/>
    <w:rPr>
      <w:rFonts w:ascii="Arial" w:hAnsi="Arial"/>
      <w:sz w:val="24"/>
    </w:rPr>
  </w:style>
  <w:style w:type="paragraph" w:customStyle="1" w:styleId="CS-O10">
    <w:name w:val="CS-O10"/>
    <w:basedOn w:val="Normalny"/>
    <w:link w:val="CS-O10Znak"/>
    <w:qFormat/>
    <w:rsid w:val="00F5085C"/>
    <w:pPr>
      <w:spacing w:after="0"/>
    </w:pPr>
    <w:rPr>
      <w:rFonts w:ascii="Arial" w:hAnsi="Arial" w:cs="Arial"/>
      <w:sz w:val="20"/>
    </w:rPr>
  </w:style>
  <w:style w:type="character" w:customStyle="1" w:styleId="CS-O10Znak">
    <w:name w:val="CS-O10 Znak"/>
    <w:basedOn w:val="Domylnaczcionkaakapitu"/>
    <w:link w:val="CS-O10"/>
    <w:rsid w:val="00F5085C"/>
    <w:rPr>
      <w:rFonts w:ascii="Arial" w:hAnsi="Arial" w:cs="Arial"/>
      <w:sz w:val="20"/>
    </w:rPr>
  </w:style>
  <w:style w:type="paragraph" w:customStyle="1" w:styleId="CS-O8">
    <w:name w:val="CS-O8"/>
    <w:basedOn w:val="Normalny"/>
    <w:link w:val="CS-O8Znak"/>
    <w:qFormat/>
    <w:rsid w:val="00F5085C"/>
    <w:pPr>
      <w:spacing w:after="0"/>
    </w:pPr>
    <w:rPr>
      <w:rFonts w:ascii="Arial" w:hAnsi="Arial" w:cs="Arial"/>
      <w:sz w:val="16"/>
    </w:rPr>
  </w:style>
  <w:style w:type="character" w:customStyle="1" w:styleId="CS-O8Znak">
    <w:name w:val="CS-O8 Znak"/>
    <w:basedOn w:val="Domylnaczcionkaakapitu"/>
    <w:link w:val="CS-O8"/>
    <w:rsid w:val="00F5085C"/>
    <w:rPr>
      <w:rFonts w:ascii="Arial" w:hAnsi="Arial" w:cs="Arial"/>
      <w:sz w:val="16"/>
    </w:rPr>
  </w:style>
  <w:style w:type="paragraph" w:customStyle="1" w:styleId="CS-TabN2">
    <w:name w:val="CS-Tab:N2"/>
    <w:basedOn w:val="Normalny"/>
    <w:link w:val="CS-TabN2Znak"/>
    <w:qFormat/>
    <w:rsid w:val="00F5085C"/>
    <w:pPr>
      <w:spacing w:before="60" w:after="60" w:line="240" w:lineRule="auto"/>
      <w:ind w:left="169"/>
    </w:pPr>
    <w:rPr>
      <w:rFonts w:ascii="Arial" w:hAnsi="Arial" w:cs="Arial"/>
      <w:b/>
      <w:sz w:val="20"/>
      <w:szCs w:val="20"/>
    </w:rPr>
  </w:style>
  <w:style w:type="character" w:customStyle="1" w:styleId="CS-TabN2Znak">
    <w:name w:val="CS-Tab:N2 Znak"/>
    <w:basedOn w:val="Domylnaczcionkaakapitu"/>
    <w:link w:val="CS-TabN2"/>
    <w:rsid w:val="00F5085C"/>
    <w:rPr>
      <w:rFonts w:ascii="Arial" w:hAnsi="Arial" w:cs="Arial"/>
      <w:b/>
      <w:sz w:val="20"/>
      <w:szCs w:val="20"/>
    </w:rPr>
  </w:style>
  <w:style w:type="paragraph" w:customStyle="1" w:styleId="CS-TabT2">
    <w:name w:val="CS-Tab:T2"/>
    <w:basedOn w:val="CS-TabT1"/>
    <w:link w:val="CS-TabT2Znak"/>
    <w:qFormat/>
    <w:rsid w:val="00F5085C"/>
    <w:pPr>
      <w:ind w:left="170"/>
    </w:pPr>
  </w:style>
  <w:style w:type="character" w:customStyle="1" w:styleId="CS-TabT2Znak">
    <w:name w:val="CS-Tab:T2 Znak"/>
    <w:basedOn w:val="CS-TabT1Znak"/>
    <w:link w:val="CS-TabT2"/>
    <w:rsid w:val="00F5085C"/>
    <w:rPr>
      <w:rFonts w:ascii="Arial" w:eastAsia="Arial Unicode MS" w:hAnsi="Arial" w:cs="Arial"/>
      <w:b w:val="0"/>
      <w:bCs w:val="0"/>
      <w:color w:val="000000" w:themeColor="text1"/>
      <w:kern w:val="1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F508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egenda">
    <w:name w:val="caption"/>
    <w:basedOn w:val="Normalny"/>
    <w:next w:val="Normalny"/>
    <w:link w:val="LegendaZnak"/>
    <w:qFormat/>
    <w:rsid w:val="00F5085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character" w:customStyle="1" w:styleId="LegendaZnak">
    <w:name w:val="Legenda Znak"/>
    <w:basedOn w:val="Domylnaczcionkaakapitu"/>
    <w:link w:val="Legenda"/>
    <w:rsid w:val="00F5085C"/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Akapitzlist">
    <w:name w:val="List Paragraph"/>
    <w:basedOn w:val="Normalny"/>
    <w:uiPriority w:val="34"/>
    <w:qFormat/>
    <w:rsid w:val="00F5085C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000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00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00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00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00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00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00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00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00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00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000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C8000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000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000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0003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C80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her">
    <w:name w:val="Other"/>
    <w:basedOn w:val="Normalny"/>
    <w:link w:val="Other0"/>
    <w:rsid w:val="00C80003"/>
    <w:pPr>
      <w:widowControl w:val="0"/>
      <w:spacing w:after="0" w:line="276" w:lineRule="auto"/>
      <w:jc w:val="center"/>
    </w:pPr>
    <w:rPr>
      <w:rFonts w:ascii="Arial" w:eastAsia="Arial" w:hAnsi="Arial" w:cs="Arial"/>
      <w:color w:val="000000"/>
      <w:sz w:val="20"/>
      <w:szCs w:val="20"/>
      <w:lang w:bidi="en-US"/>
    </w:rPr>
  </w:style>
  <w:style w:type="character" w:customStyle="1" w:styleId="Other0">
    <w:name w:val="Other_"/>
    <w:basedOn w:val="Domylnaczcionkaakapitu"/>
    <w:link w:val="Other"/>
    <w:rsid w:val="00C80003"/>
    <w:rPr>
      <w:rFonts w:ascii="Arial" w:eastAsia="Arial" w:hAnsi="Arial" w:cs="Arial"/>
      <w:color w:val="000000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869bc03-0068-40da-a54a-3674aefa3804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930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Pucelak Mateusz</dc:creator>
  <cp:keywords/>
  <dc:description/>
  <cp:lastModifiedBy>Nieznany</cp:lastModifiedBy>
  <cp:revision>9</cp:revision>
  <dcterms:created xsi:type="dcterms:W3CDTF">2026-07-17T08:27:00Z</dcterms:created>
  <dcterms:modified xsi:type="dcterms:W3CDTF">2026-07-21T07:56:00Z</dcterms:modified>
</cp:coreProperties>
</file>